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5396" w:type="dxa"/>
        <w:tblLook w:val="04A0" w:firstRow="1" w:lastRow="0" w:firstColumn="1" w:lastColumn="0" w:noHBand="0" w:noVBand="1"/>
      </w:tblPr>
      <w:tblGrid>
        <w:gridCol w:w="8058"/>
        <w:gridCol w:w="7338"/>
      </w:tblGrid>
      <w:tr>
        <w:trPr>
          <w:trHeight w:val="274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ภาษาไทย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 xml:space="preserve">ถึงวันที่ 5เดือนพฤษภาคม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7338" w:type="dxa"/>
          </w:tcPr>
          <w:p>
            <w:pPr>
              <w:jc w:val="center"/>
              <w:rPr>
                <w:lang w:val="th-TH"/>
                <w:rFonts w:asciiTheme="majorHAnsi" w:eastAsiaTheme="majorHAnsi" w:hAnsiTheme="majorHAnsi"/>
                <w:sz w:val="24"/>
                <w:szCs w:val="26"/>
                <w:rtl w:val="off"/>
              </w:rPr>
            </w:pPr>
            <w:r>
              <w:rPr>
                <w:lang w:val="th-TH"/>
                <w:rFonts w:asciiTheme="majorHAnsi" w:eastAsiaTheme="majorHAnsi" w:hAnsiTheme="majorHAnsi"/>
                <w:rtl w:val="off"/>
              </w:rPr>
              <w:t xml:space="preserve"> </w:t>
            </w:r>
            <w:r>
              <w:rPr>
                <w:lang w:val="th-TH"/>
                <w:rFonts w:asciiTheme="majorHAnsi" w:eastAsiaTheme="majorHAnsi" w:hAnsiTheme="majorHAnsi"/>
                <w:sz w:val="24"/>
                <w:szCs w:val="26"/>
                <w:rtl w:val="off"/>
              </w:rPr>
              <w:t>การเว้นระยะห่างทางสังคม ยัง</w:t>
            </w:r>
            <w:r>
              <w:rPr>
                <w:lang w:val="th-TH"/>
                <w:sz w:val="24"/>
                <w:szCs w:val="24"/>
                <w:rtl w:val="off"/>
              </w:rPr>
              <w:t>ดำเนินการอีก</w:t>
            </w:r>
            <w:r>
              <w:rPr>
                <w:lang w:val="th-TH"/>
                <w:rFonts w:asciiTheme="majorHAnsi" w:eastAsiaTheme="majorHAnsi" w:hAnsiTheme="majorHAnsi"/>
                <w:sz w:val="24"/>
                <w:szCs w:val="26"/>
                <w:rtl w:val="off"/>
              </w:rPr>
              <w:t>ต่อไป ในรูปแบบที่ค่อนข้างผ่อนคลาย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rFonts w:asciiTheme="majorHAnsi" w:eastAsiaTheme="majorHAnsi" w:hAnsiTheme="majorHAnsi"/>
                <w:sz w:val="24"/>
                <w:szCs w:val="26"/>
                <w:rtl w:val="off"/>
              </w:rPr>
              <w:t>กว่าก่อนหน้านี้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분산시설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การกระจายสิ่งอำนวยความสะดวก-นอกอาคาร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 xml:space="preserve">การดำเนิน เป็นตามเงื่อนไข </w:t>
            </w:r>
            <w:r>
              <w:rPr>
                <w:lang w:val="th-TH"/>
                <w:sz w:val="24"/>
                <w:szCs w:val="24"/>
                <w:cs/>
                <w:rtl w:val="off"/>
              </w:rPr>
              <w:t>ตาม</w:t>
            </w:r>
            <w:r>
              <w:rPr>
                <w:sz w:val="24"/>
                <w:szCs w:val="24"/>
                <w:cs/>
                <w:rtl w:val="off"/>
              </w:rPr>
              <w:t>มาตรการ</w:t>
            </w:r>
            <w:r>
              <w:rPr>
                <w:lang w:val="th-TH"/>
                <w:sz w:val="24"/>
                <w:szCs w:val="24"/>
                <w:cs/>
                <w:rtl w:val="off"/>
              </w:rPr>
              <w:t>ของ</w:t>
            </w:r>
            <w:r>
              <w:rPr>
                <w:sz w:val="24"/>
                <w:szCs w:val="24"/>
                <w:cs/>
                <w:rtl w:val="off"/>
              </w:rPr>
              <w:t>ขั้นตอน</w:t>
            </w:r>
            <w:r>
              <w:rPr>
                <w:lang w:val="th-TH"/>
                <w:sz w:val="24"/>
                <w:szCs w:val="24"/>
                <w:cs/>
                <w:rtl w:val="off"/>
              </w:rPr>
              <w:t>ในการ</w:t>
            </w:r>
            <w:r>
              <w:rPr>
                <w:sz w:val="24"/>
                <w:szCs w:val="24"/>
                <w:cs/>
                <w:rtl w:val="off"/>
              </w:rPr>
              <w:t>ป้องกัน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 xml:space="preserve">ในส่วนของสถานที่สาธาระณะ อุทยานแห่งชาติ, สถานที่พักผ่อนธรรมชาติ เป็นต้น 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นอกอาคาร-อาคารที่มีสิ่งอำนวยความสะดวกอาคารที่แออัด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7338" w:type="dxa"/>
          </w:tcPr>
          <w:p>
            <w:pPr>
              <w:jc w:val="center"/>
              <w:rPr>
                <w:lang w:val="th-TH"/>
                <w:color w:val="000000"/>
                <w:sz w:val="24"/>
                <w:szCs w:val="24"/>
                <w:rtl w:val="off"/>
              </w:rPr>
            </w:pPr>
            <w:r>
              <w:rPr>
                <w:color w:val="000000"/>
                <w:sz w:val="24"/>
              </w:rPr>
              <w:t>‘</w:t>
            </w:r>
            <w:r>
              <w:rPr>
                <w:lang w:val="th-TH"/>
                <w:color w:val="000000"/>
                <w:sz w:val="24"/>
                <w:szCs w:val="24"/>
                <w:rtl w:val="off"/>
              </w:rPr>
              <w:t>การกระจาย</w:t>
            </w:r>
            <w:r>
              <w:rPr>
                <w:color w:val="000000"/>
                <w:sz w:val="24"/>
              </w:rPr>
              <w:t>‘</w:t>
            </w:r>
            <w:r>
              <w:rPr>
                <w:lang w:val="th-TH"/>
                <w:color w:val="000000"/>
                <w:sz w:val="24"/>
                <w:rtl w:val="off"/>
              </w:rPr>
              <w:t xml:space="preserve"> เปรียบเหมือนกับ</w:t>
            </w:r>
            <w:r>
              <w:rPr>
                <w:lang w:val="th-TH"/>
                <w:color w:val="000000"/>
                <w:sz w:val="24"/>
                <w:szCs w:val="24"/>
                <w:rtl w:val="off"/>
              </w:rPr>
              <w:t xml:space="preserve"> </w:t>
            </w:r>
            <w:r>
              <w:rPr>
                <w:color w:val="000000"/>
                <w:sz w:val="24"/>
              </w:rPr>
              <w:t>‘</w:t>
            </w:r>
            <w:r>
              <w:rPr>
                <w:lang w:val="th-TH"/>
                <w:color w:val="000000"/>
                <w:sz w:val="24"/>
                <w:szCs w:val="24"/>
                <w:rtl w:val="off"/>
              </w:rPr>
              <w:t>เบสบอลที่ไม่มีผู้ชม</w:t>
            </w:r>
            <w:r>
              <w:rPr>
                <w:color w:val="000000"/>
                <w:sz w:val="24"/>
              </w:rPr>
              <w:t>‘</w:t>
            </w:r>
            <w:r>
              <w:rPr>
                <w:lang w:val="th-TH"/>
                <w:color w:val="000000"/>
                <w:sz w:val="24"/>
                <w:szCs w:val="24"/>
                <w:rtl w:val="off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color w:val="000000"/>
                <w:sz w:val="24"/>
                <w:szCs w:val="24"/>
                <w:rtl w:val="off"/>
              </w:rPr>
              <w:t xml:space="preserve">เมื่อสามารถทำได้ตามเงื่อนไข ในขอบเขตที่จำกัด จึงได้ดำเนินการต่อไป 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ภาคเอกชน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7338" w:type="dxa"/>
          </w:tcPr>
          <w:p>
            <w:pPr>
              <w:jc w:val="center"/>
              <w:rPr>
                <w:lang w:val="th-TH"/>
                <w:sz w:val="24"/>
                <w:szCs w:val="24"/>
                <w:rtl w:val="off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กรณีจำเป็นที่ี่ี่หลีกเลี่ยงไม่ได้ เช่นการสอบ เป็นต้น ต้องได้รับอนุญาติใน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ขอบเขตจำกัด ตามแนวทางปฏิบัติการป้องกันโรคระบาด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ระงับการดำเนินงานตาม สถานบันเทิง, ถานที่ออกกำลังกาย, สถาบันกวดวิชา, สถานปฏิบัติธรรม เป็นต้น ให้ปฏิบัติตามคำสั่งต่อไป ในการงดละเว้นตามที่ได้ประกาศไปแล้ว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>กระทรวงความเสมอภาคสตรีและครอบครัว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pStyle w:val="a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733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val="th-TH"/>
                <w:sz w:val="24"/>
                <w:szCs w:val="24"/>
                <w:rtl w:val="off"/>
              </w:rPr>
              <w:t xml:space="preserve">แปลโดย ศูนย์ทานูรี </w:t>
            </w:r>
            <w:r>
              <w:rPr>
                <w:lang w:val="th-TH" w:eastAsia="ko-KR"/>
                <w:rFonts w:ascii="Angsana New" w:eastAsia="Angsana New" w:hAnsi="Angsana New" w:cs="Angsana New (Thai)"/>
                <w:b/>
                <w:bCs/>
                <w:color w:val="000000"/>
                <w:sz w:val="28"/>
                <w:szCs w:val="28"/>
                <w:cs/>
                <w:kern w:val="0"/>
                <w:snapToGrid/>
                <w:spacing w:val="0"/>
                <w:rtl w:val="off"/>
              </w:rPr>
              <w:t>1577-1366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charset w:val="00"/>
    <w:notTrueType w:val="false"/>
    <w:sig w:usb0="81000003" w:usb1="00000001" w:usb2="00000001" w:usb3="00000001" w:csb0="00010001" w:csb1="00000001"/>
  </w:font>
  <w:font w:name="Angsana New (Thai)">
    <w:charset w:val="00"/>
    <w:notTrueType w:val="false"/>
    <w:pitch w:val="variabl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권예지-말리카</cp:lastModifiedBy>
  <cp:revision>1</cp:revision>
  <dcterms:created xsi:type="dcterms:W3CDTF">2020-04-21T02:00:00Z</dcterms:created>
  <dcterms:modified xsi:type="dcterms:W3CDTF">2020-04-21T09:56:02Z</dcterms:modified>
  <cp:version>1000.0100.01</cp:version>
</cp:coreProperties>
</file>